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регистрации инцидентов безопасности персональных данных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1510"/>
        <w:gridCol w:w="1510"/>
        <w:gridCol w:w="1510"/>
        <w:gridCol w:w="1510"/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и время выявления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Кто выявил и сообщил (Ф.И.О., должность)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Описание инцидента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Затронутые системы и носители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Категории и объём затронутых данных, число субъектов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Принятые меры реагирования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Уведомление в Роскомнадзор (24 ч): дата, номер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Уведомление о результатах расследования (72 ч): дата, номер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Реквизиты акта расследования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Меры по недопущению повторения, срок, ответственный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