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  <w:jc w:val="both"/>
        <w:ind w:firstLine="709"/>
      </w:pPr>
      <w:r>
        <w:rPr>
          <w:sz w:val="28"/>
        </w:rPr>
        <w:t xml:space="preserve">УТВЕРЖДЁН</w:t>
      </w:r>
    </w:p>
    <w:p>
      <w:pPr>
        <w:spacing w:after="80"/>
        <w:jc w:val="both"/>
        <w:ind w:firstLine="709"/>
      </w:pPr>
      <w:r>
        <w:rPr>
          <w:sz w:val="28"/>
        </w:rPr>
        <w:t xml:space="preserve">приказом [наименование оператора]</w:t>
      </w:r>
    </w:p>
    <w:p>
      <w:pPr>
        <w:spacing w:after="80"/>
        <w:jc w:val="both"/>
        <w:ind w:firstLine="709"/>
      </w:pPr>
      <w:r>
        <w:rPr>
          <w:sz w:val="28"/>
        </w:rPr>
        <w:t xml:space="preserve">от «___» _______ 20__ г. № ____</w:t>
      </w:r>
    </w:p>
    <w:p/>
    <w:p>
      <w:pPr>
        <w:spacing w:after="80"/>
        <w:jc w:val="both"/>
        <w:ind w:firstLine="709"/>
      </w:pPr>
      <w:r>
        <w:rPr>
          <w:sz w:val="28"/>
        </w:rPr>
        <w:t xml:space="preserve">РЕГЛАМЕНТ</w:t>
      </w:r>
    </w:p>
    <w:p>
      <w:pPr>
        <w:spacing w:after="80"/>
        <w:jc w:val="both"/>
        <w:ind w:firstLine="709"/>
      </w:pPr>
      <w:r>
        <w:rPr>
          <w:sz w:val="28"/>
        </w:rPr>
        <w:t xml:space="preserve">обезличивания персональных данных</w:t>
      </w:r>
    </w:p>
    <w:p>
      <w:pPr>
        <w:spacing w:after="80"/>
        <w:jc w:val="both"/>
        <w:ind w:firstLine="709"/>
      </w:pPr>
      <w:r>
        <w:rPr>
          <w:sz w:val="28"/>
        </w:rPr>
        <w:t xml:space="preserve">[наименование оператора, ИНН, ОГРН]</w:t>
      </w:r>
    </w:p>
    <w:p/>
    <w:p>
      <w:pPr>
        <w:spacing w:after="80"/>
        <w:jc w:val="both"/>
        <w:ind w:firstLine="709"/>
      </w:pPr>
      <w:r>
        <w:rPr>
          <w:sz w:val="28"/>
        </w:rPr>
        <w:t xml:space="preserve">1. Общие положения</w:t>
      </w:r>
    </w:p>
    <w:p>
      <w:pPr>
        <w:spacing w:after="80"/>
        <w:jc w:val="both"/>
        <w:ind w:firstLine="709"/>
      </w:pPr>
      <w:r>
        <w:rPr>
          <w:sz w:val="28"/>
        </w:rPr>
        <w:t xml:space="preserve">1.1. Регламент определяет порядок обезличивания персональных данных, оценки достаточности методов обезличивания и обработки обезличенных данных в соответствии с Требованиями и Методами, утверждёнными приказом Роскомнадзора от 19.06.2025 № 140.</w:t>
      </w:r>
    </w:p>
    <w:p>
      <w:pPr>
        <w:spacing w:after="80"/>
        <w:jc w:val="both"/>
        <w:ind w:firstLine="709"/>
      </w:pPr>
      <w:r>
        <w:rPr>
          <w:sz w:val="28"/>
        </w:rPr>
        <w:t xml:space="preserve">1.2. Регламент не применяется в случаях пункта 9.1 части 1 статьи 6 Федерального закона от 27.07.2006 № 152-ФЗ.</w:t>
      </w:r>
    </w:p>
    <w:p>
      <w:pPr>
        <w:spacing w:after="80"/>
        <w:jc w:val="both"/>
        <w:ind w:firstLine="709"/>
      </w:pPr>
      <w:r>
        <w:rPr>
          <w:sz w:val="28"/>
        </w:rPr>
        <w:t xml:space="preserve">1.3. Регламент и сведения о методах обезличивания третьим лицам не предоставляются.</w:t>
      </w:r>
    </w:p>
    <w:p/>
    <w:p>
      <w:pPr>
        <w:spacing w:after="80"/>
        <w:jc w:val="both"/>
        <w:ind w:firstLine="709"/>
      </w:pPr>
      <w:r>
        <w:rPr>
          <w:sz w:val="28"/>
        </w:rPr>
        <w:t xml:space="preserve">2. Подготовка</w:t>
      </w:r>
    </w:p>
    <w:p>
      <w:pPr>
        <w:spacing w:after="80"/>
        <w:jc w:val="both"/>
        <w:ind w:firstLine="709"/>
      </w:pPr>
      <w:r>
        <w:rPr>
          <w:sz w:val="28"/>
        </w:rPr>
        <w:t xml:space="preserve">2.1. До начала работ определяется массив: состав данных и круг субъектов.</w:t>
      </w:r>
    </w:p>
    <w:p>
      <w:pPr>
        <w:spacing w:after="80"/>
        <w:jc w:val="both"/>
        <w:ind w:firstLine="709"/>
      </w:pPr>
      <w:r>
        <w:rPr>
          <w:sz w:val="28"/>
        </w:rPr>
        <w:t xml:space="preserve">2.2. Выбранный метод оценивается на достаточность по категориям субъектов, категориям данных и правовым основаниям обработки.</w:t>
      </w:r>
    </w:p>
    <w:p>
      <w:pPr>
        <w:spacing w:after="80"/>
        <w:jc w:val="both"/>
        <w:ind w:firstLine="709"/>
      </w:pPr>
      <w:r>
        <w:rPr>
          <w:sz w:val="28"/>
        </w:rPr>
        <w:t xml:space="preserve">2.3. Результаты отражаются в карте обезличивания, утверждаемой руководителем.</w:t>
      </w:r>
    </w:p>
    <w:p/>
    <w:p>
      <w:pPr>
        <w:spacing w:after="80"/>
        <w:jc w:val="both"/>
        <w:ind w:firstLine="709"/>
      </w:pPr>
      <w:r>
        <w:rPr>
          <w:sz w:val="28"/>
        </w:rPr>
        <w:t xml:space="preserve">3. Методы</w:t>
      </w:r>
    </w:p>
    <w:p>
      <w:pPr>
        <w:spacing w:after="80"/>
        <w:jc w:val="both"/>
        <w:ind w:firstLine="709"/>
      </w:pPr>
      <w:r>
        <w:rPr>
          <w:sz w:val="28"/>
        </w:rPr>
        <w:t xml:space="preserve">3.1. Применяются методы введения идентификаторов, изменения состава или семантики, перемешивания, декомпозиции; преобразование массива — только дополнительно к ним.</w:t>
      </w:r>
    </w:p>
    <w:p>
      <w:pPr>
        <w:spacing w:after="80"/>
        <w:jc w:val="both"/>
        <w:ind w:firstLine="709"/>
      </w:pPr>
      <w:r>
        <w:rPr>
          <w:sz w:val="28"/>
        </w:rPr>
        <w:t xml:space="preserve">3.2. Ключ и части массива хранятся отдельно и третьим лицам не передаются.</w:t>
      </w:r>
    </w:p>
    <w:p/>
    <w:p>
      <w:pPr>
        <w:spacing w:after="80"/>
        <w:jc w:val="both"/>
        <w:ind w:firstLine="709"/>
      </w:pPr>
      <w:r>
        <w:rPr>
          <w:sz w:val="28"/>
        </w:rPr>
        <w:t xml:space="preserve">4. Проведение и учёт</w:t>
      </w:r>
    </w:p>
    <w:p>
      <w:pPr>
        <w:spacing w:after="80"/>
        <w:jc w:val="both"/>
        <w:ind w:firstLine="709"/>
      </w:pPr>
      <w:r>
        <w:rPr>
          <w:sz w:val="28"/>
        </w:rPr>
        <w:t xml:space="preserve">4.1. Обезличивание проводится в защищённых информационных системах, указанных в карте.</w:t>
      </w:r>
    </w:p>
    <w:p>
      <w:pPr>
        <w:spacing w:after="80"/>
        <w:jc w:val="both"/>
        <w:ind w:firstLine="709"/>
      </w:pPr>
      <w:r>
        <w:rPr>
          <w:sz w:val="28"/>
        </w:rPr>
        <w:t xml:space="preserve">4.2. Исходный массив и результат не хранятся совместно.</w:t>
      </w:r>
    </w:p>
    <w:p>
      <w:pPr>
        <w:spacing w:after="80"/>
        <w:jc w:val="both"/>
        <w:ind w:firstLine="709"/>
      </w:pPr>
      <w:r>
        <w:rPr>
          <w:sz w:val="28"/>
        </w:rPr>
        <w:t xml:space="preserve">4.3. Действия учитываются в журнале учёта действий по обезличиванию.</w:t>
      </w:r>
    </w:p>
    <w:p/>
    <w:p>
      <w:pPr>
        <w:spacing w:after="80"/>
        <w:jc w:val="both"/>
        <w:ind w:firstLine="709"/>
      </w:pPr>
      <w:r>
        <w:rPr>
          <w:sz w:val="28"/>
        </w:rPr>
        <w:t xml:space="preserve">Приложение № 1. Карта обезличивания массива персональных данных</w:t>
      </w:r>
    </w:p>
    <w:p>
      <w:pPr>
        <w:spacing w:after="80"/>
        <w:jc w:val="both"/>
        <w:ind w:firstLine="709"/>
      </w:pPr>
      <w:r>
        <w:rPr>
          <w:sz w:val="28"/>
        </w:rPr>
        <w:t xml:space="preserve">Приложение № 2. Журнал учёта действий по обезличиванию персональных данных</w:t>
      </w:r>
    </w:p>
    <w:sectPr>
      <w:headerReference w:type="default" r:id="rIdHeader"/>
      <w:headerReference w:type="first" r:id="rIdHeaderFirst"/>
      <w:pgSz w:w="11906" w:h="16838"/>
      <w:pgMar w:top="1134" w:right="850" w:bottom="1134" w:left="1701" w:header="567" w:footer="567" w:gutter="0"/>
      <w:titlePg/>
    </w:sectPr>
  </w:body>
</w:document>
</file>

<file path=word/header1.xml><?xml version="1.0" encoding="utf-8"?>
<w:hdr xmlns:w="http://schemas.openxmlformats.org/wordprocessingml/2006/main">
  <w:p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header2.xml><?xml version="1.0" encoding="utf-8"?>
<w:hdr xmlns:w="http://schemas.openxmlformats.org/wordprocessingml/2006/main">
  <w:p/>
</w:hd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8"/>
        <w:szCs w:val="28"/>
        <w:lang w:val="ru-RU"/>
      </w:rPr>
    </w:rPrDefault>
    <w:pPrDefault>
      <w:pPr>
        <w:spacing w:after="120" w:line="36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Header" Type="http://schemas.openxmlformats.org/officeDocument/2006/relationships/header" Target="header1.xml"/><Relationship Id="rIdHeaderFirst" Type="http://schemas.openxmlformats.org/officeDocument/2006/relationships/header" Target="header2.xml"/></Relationships>
</file>