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УТВЕРЖДЁН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РЕГЛАМЕНТ</w:t>
      </w:r>
    </w:p>
    <w:p>
      <w:r>
        <w:t xml:space="preserve">обеспечения безопасности информации при использовании СКЗИ</w:t>
      </w:r>
    </w:p>
    <w:p/>
    <w:p>
      <w:r>
        <w:t xml:space="preserve">1. Общие положения. Регламент разработан в соответствии с Инструкцией, утверждённой приказом ФАПСИ от 13.06.2001 № 152, и приказом ФСБ России от 10.07.2014 № 378.</w:t>
      </w:r>
    </w:p>
    <w:p>
      <w:r>
        <w:t xml:space="preserve">2. Учёт. Все СКЗИ, ключевые документы и носители подлежат поэкземплярному учёту в журнале.</w:t>
      </w:r>
    </w:p>
    <w:p>
      <w:r>
        <w:t xml:space="preserve">3. Хранение. СКЗИ и ключевые документы хранятся в запираемых хранилищах в помещениях с ограниченным доступом.</w:t>
      </w:r>
    </w:p>
    <w:p>
      <w:r>
        <w:t xml:space="preserve">4. Допуск. К работе со СКЗИ допускаются работники по приказу, прошедшие инструктаж, под обязательство о соблюдении правил.</w:t>
      </w:r>
    </w:p>
    <w:p>
      <w:r>
        <w:t xml:space="preserve">5. Ключевые документы. Порядок получения, использования, смены и уничтожения; запрет передачи ключевых носителей третьим лицам.</w:t>
      </w:r>
    </w:p>
    <w:p>
      <w:r>
        <w:t xml:space="preserve">6. Компрометация. Признаки компрометации, порядок доклада и прекращения использования ключа, уведомление удостоверяющего центра.</w:t>
      </w:r>
    </w:p>
    <w:p>
      <w:r>
        <w:t xml:space="preserve">7. Вывод из эксплуатации. Уничтожение экземпляров по акту.</w:t>
      </w:r>
    </w:p>
    <w:p/>
    <w:p>
      <w:r>
        <w:t xml:space="preserve">Приложение. Перечень помещений размещения СКЗИ и хранения ключевых документов.</w:t>
      </w:r>
    </w:p>
    <w:p/>
    <w:p>
      <w:r>
        <w:t xml:space="preserve">Ответственный пользователь СКЗИ _______________ / _______________ /</w:t>
      </w:r>
    </w:p>
  </w:body>
</w:document>
</file>