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УТВЕРЖДЕНЫ</w:t>
      </w:r>
    </w:p>
    <w:p>
      <w:r>
        <w:t xml:space="preserve">приказом [наименование организации]</w:t>
      </w:r>
    </w:p>
    <w:p>
      <w:r>
        <w:t xml:space="preserve">от «___» __________ 20__ г. № _____</w:t>
      </w:r>
    </w:p>
    <w:p/>
    <w:p>
      <w:r>
        <w:t xml:space="preserve">ПРАВИЛА</w:t>
      </w:r>
    </w:p>
    <w:p>
      <w:r>
        <w:t xml:space="preserve">обработки биометрических персональных данных</w:t>
      </w:r>
    </w:p>
    <w:p/>
    <w:p>
      <w:r>
        <w:t xml:space="preserve">1. Оператор обрабатывает как биометрические персональные данные: [изображение лица для системы контроля доступа, отпечаток пальца и т. п.] в целях [цель].</w:t>
      </w:r>
    </w:p>
    <w:p>
      <w:r>
        <w:t xml:space="preserve">2. Обработка осуществляется на основании письменного согласия субъекта, за исключением случаев, прямо предусмотренных законом.</w:t>
      </w:r>
    </w:p>
    <w:p>
      <w:r>
        <w:t xml:space="preserve">3. Материальные носители биометрии хранятся в условиях, исключающих несанкционированный доступ; доступ предоставляется по перечню допущенных лиц.</w:t>
      </w:r>
    </w:p>
    <w:p>
      <w:r>
        <w:t xml:space="preserve">4. Срок хранения — [срок]; по достижении цели данные уничтожаются с оформлением акта.</w:t>
      </w:r>
    </w:p>
    <w:p>
      <w:r>
        <w:t xml:space="preserve">5. При отказе субъекта от биометрической идентификации предоставляется альтернативный способ [описание].</w:t>
      </w:r>
    </w:p>
    <w:p/>
    <w:p>
      <w:r>
        <w:t xml:space="preserve">Ответственный за организацию обработки персональных данных _______________ / _______________ /</w:t>
      </w:r>
    </w:p>
  </w:body>
</w:document>
</file>