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УТВЕРЖДЁН</w:t>
      </w:r>
    </w:p>
    <w:p>
      <w:r>
        <w:t xml:space="preserve">приказом [наименование оператора]</w:t>
      </w:r>
    </w:p>
    <w:p>
      <w:r>
        <w:t xml:space="preserve">от «___» __________ 20__ г. № ____</w:t>
      </w:r>
    </w:p>
    <w:p/>
    <w:p>
      <w:r>
        <w:t xml:space="preserve">ПОРЯДОК</w:t>
      </w:r>
    </w:p>
    <w:p>
      <w:r>
        <w:t xml:space="preserve">рассмотрения обращений (запросов) субъектов персональных данных,</w:t>
      </w:r>
    </w:p>
    <w:p>
      <w:r>
        <w:t xml:space="preserve">запросов Роскомнадзора и уведомлений об инцидентах</w:t>
      </w:r>
    </w:p>
    <w:p>
      <w:r>
        <w:t xml:space="preserve">[наименование оператора, ИНН, ОГРН]</w:t>
      </w:r>
    </w:p>
    <w:p/>
    <w:p>
      <w:r>
        <w:t xml:space="preserve">1. Общие положения</w:t>
      </w:r>
    </w:p>
    <w:p>
      <w:r>
        <w:t xml:space="preserve">1.1. Настоящий Порядок устанавливает правила приёма, регистрации и рассмотрения обращений (запросов) субъектов персональных данных и их представителей, запросов уполномоченного органа по защите прав субъектов персональных данных (Роскомнадзора), а также направления уведомлений в соответствии с Федеральным законом от 27.07.2006 № 152-ФЗ (далее — Закон).</w:t>
      </w:r>
    </w:p>
    <w:p>
      <w:r>
        <w:t xml:space="preserve">1.2. Обращения принимаются по адресу: [почтовый адрес] и по электронной почте: [адрес]. Обращение регистрируется в день поступления в журнале учёта обращений субъектов персональных данных.</w:t>
      </w:r>
    </w:p>
    <w:p>
      <w:r>
        <w:t xml:space="preserve">1.3. Рассмотрение обеспечивает ответственный за организацию обработки персональных данных: [должность, ФИО, контакты].</w:t>
      </w:r>
    </w:p>
    <w:p>
      <w:r>
        <w:t xml:space="preserve">1.4. Запрос субъекта должен содержать номер основного документа, удостоверяющего личность субъекта или его представителя, сведения о дате выдачи и выдавшем органе, сведения, подтверждающие участие субъекта в отношениях с оператором либо иным образом подтверждающие факт обработки, подпись субъекта или представителя (часть 3 статьи 14 Закона). Запрос может быть направлен в электронной форме и подписан электронной подписью.</w:t>
      </w:r>
    </w:p>
    <w:p>
      <w:r>
        <w:t xml:space="preserve">1.5. Отказ допускается только по основаниям, установленным законом, и оформляется мотивированным ответом.</w:t>
      </w:r>
    </w:p>
    <w:p/>
    <w:p>
      <w:r>
        <w:t xml:space="preserve">2. Сроки</w:t>
      </w:r>
    </w:p>
    <w:p>
      <w:r>
        <w:t xml:space="preserve">2.1. Предоставление субъекту сведений об обработке его персональных данных (состав сведений — часть 7 статьи 14 Закона) — 10 рабочих дней с даты получения запроса; срок может быть продлён не более чем на 5 рабочих дней с направлением мотивированного уведомления (часть 3 статьи 14 Закона). Сообщение о наличии персональных данных и ознакомление с ними — при обращении либо в течение 10 рабочих дней с даты получения запроса (часть 1 статьи 20 Закона).</w:t>
      </w:r>
    </w:p>
    <w:p>
      <w:r>
        <w:t xml:space="preserve">2.2. Ответ на запрос Роскомнадзора — 10 рабочих дней со дня получения запроса; продление — не более чем на 5 рабочих дней (часть 4 статьи 20 Закона).</w:t>
      </w:r>
    </w:p>
    <w:p>
      <w:r>
        <w:t xml:space="preserve">2.3. Уточнение неточных персональных данных — 7 рабочих дней со дня представления субъектом подтверждающих сведений; на период проверки данные блокируются (части 1 и 2 статьи 21 Закона).</w:t>
      </w:r>
    </w:p>
    <w:p>
      <w:r>
        <w:t xml:space="preserve">2.4. Уничтожение незаконно полученных или излишних персональных данных по обращению субъекта — 7 рабочих дней со дня представления сведений (часть 3 статьи 20 Закона).</w:t>
      </w:r>
    </w:p>
    <w:p>
      <w:r>
        <w:t xml:space="preserve">2.5. Прекращение неправомерной обработки — 3 рабочих дня с даты выявления; при невозможности обеспечить правомерность обработки данные уничтожаются в течение 10 рабочих дней (часть 3 статьи 21 Закона).</w:t>
      </w:r>
    </w:p>
    <w:p>
      <w:r>
        <w:t xml:space="preserve">2.6. Отзыв субъектом согласия — прекращение обработки и уничтожение данных в срок до 30 дней, если отсутствует иное правовое основание обработки (часть 5 статьи 21 Закона).</w:t>
      </w:r>
    </w:p>
    <w:p>
      <w:r>
        <w:t xml:space="preserve">2.7. Требование субъекта о прекращении обработки — 10 рабочих дней; продление — не более чем на 5 рабочих дней (часть 5.1 статьи 21 Закона).</w:t>
      </w:r>
    </w:p>
    <w:p>
      <w:r>
        <w:t xml:space="preserve">2.8. Уведомление Роскомнадзора об инциденте (неправомерной или случайной передаче персональных данных) — 24 часа о факте инцидента и 72 часа о результатах внутреннего расследования (часть 3.1 статьи 21 Закона).</w:t>
      </w:r>
    </w:p>
    <w:p>
      <w:r>
        <w:t xml:space="preserve">2.9. Уведомление Роскомнадзора об изменении сведений реестра операторов — до 15-го числа месяца, следующего за месяцем изменения; о прекращении обработки — 10 рабочих дней (часть 7 статьи 22 Закона).</w:t>
      </w:r>
    </w:p>
    <w:p/>
    <w:p>
      <w:r>
        <w:t xml:space="preserve">3. Оформление</w:t>
      </w:r>
    </w:p>
    <w:p>
      <w:r>
        <w:t xml:space="preserve">3.1. Ответы субъектам и уполномоченному органу оформляются письменно; сведения предоставляются в доступной форме и не должны содержать персональные данные других субъектов.</w:t>
      </w:r>
    </w:p>
    <w:p>
      <w:r>
        <w:t xml:space="preserve">3.2. Повторный запрос допускается по истечении 30 дней после первоначального обращения, если более короткий срок не установлен законом либо если в первоначальном ответе информация была предоставлена не в полном объёме (часть 4 статьи 14 Закона).</w:t>
      </w:r>
    </w:p>
    <w:p>
      <w:r>
        <w:t xml:space="preserve">3.3. Подтверждение уничтожения персональных данных оформляется в соответствии с требованиями, установленными Роскомнадзором (часть 7 статьи 21 Закона).</w:t>
      </w:r>
    </w:p>
    <w:p/>
    <w:p>
      <w:r>
        <w:t xml:space="preserve">Ответственный за организацию обработки персональных данных</w:t>
      </w:r>
    </w:p>
    <w:p>
      <w:r>
        <w:t xml:space="preserve">_______________ / [ФИО] /</w:t>
      </w:r>
    </w:p>
  </w:body>
</w:document>
</file>