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Приложение № 2</w:t>
      </w:r>
    </w:p>
    <w:p>
      <w:r>
        <w:t xml:space="preserve">УТВЕРЖДЕНО</w:t>
      </w:r>
    </w:p>
    <w:p>
      <w:r>
        <w:t xml:space="preserve">приказом [наименование оператора]</w:t>
      </w:r>
    </w:p>
    <w:p>
      <w:r>
        <w:t xml:space="preserve">от «___» __________ 20__ г. № ____</w:t>
      </w:r>
    </w:p>
    <w:p/>
    <w:p>
      <w:r>
        <w:t xml:space="preserve">ПОЛОЖЕНИЕ</w:t>
      </w:r>
    </w:p>
    <w:p>
      <w:r>
        <w:t xml:space="preserve">об обработке и защите персональных данных</w:t>
      </w:r>
    </w:p>
    <w:p>
      <w:r>
        <w:t xml:space="preserve">[наименование оператора, ИНН, ОГРН]</w:t>
      </w:r>
    </w:p>
    <w:p/>
    <w:p>
      <w:r>
        <w:t xml:space="preserve">I. Общие положения</w:t>
      </w:r>
    </w:p>
    <w:p>
      <w:r>
        <w:t xml:space="preserve">1. Настоящее Положение определяет цели, условия и порядок обработки персональных данных у оператора [наименование] (далее — Оператор), меры по обеспечению их безопасности и порядок реализации прав субъектов персональных данных.</w:t>
      </w:r>
    </w:p>
    <w:p>
      <w:r>
        <w:t xml:space="preserve">2. Обработка осуществляется [с использованием средств автоматизации / без использования таких средств / как с использованием средств автоматизации, так и без них].</w:t>
      </w:r>
    </w:p>
    <w:p>
      <w:r>
        <w:t xml:space="preserve">3. Положение обязательно для всех работников Оператора, имеющих доступ к персональным данным; такие работники ознакомлены с ним под подпись.</w:t>
      </w:r>
    </w:p>
    <w:p/>
    <w:p>
      <w:r>
        <w:t xml:space="preserve">II. Цели, условия и порядок обработки</w:t>
      </w:r>
    </w:p>
    <w:p>
      <w:r>
        <w:t xml:space="preserve">4. Цель: [конкретная цель]. Категории субъектов: [работники, клиенты, представители контрагентов]. Категории данных: [исчерпывающий перечень]. Правовое основание: [норма закона, договор, согласие].</w:t>
      </w:r>
    </w:p>
    <w:p>
      <w:r>
        <w:t xml:space="preserve">[Отдельный пункт на каждую реальную цель обработки.]</w:t>
      </w:r>
    </w:p>
    <w:p>
      <w:r>
        <w:t xml:space="preserve">5. По каждой цели обрабатываются только необходимые и достаточные данные; обработка, несовместимая с целями сбора или избыточная, не допускается (статья 5 Закона).</w:t>
      </w:r>
    </w:p>
    <w:p>
      <w:r>
        <w:t xml:space="preserve">6. Специальные категории и биометрические персональные данные обрабатываются только в случаях и на условиях статей 10 и 11 Закона.</w:t>
      </w:r>
    </w:p>
    <w:p>
      <w:r>
        <w:t xml:space="preserve">7. Передача третьим лицам — при наличии основания; поручение обработки оформляется договором по части 3 статьи 6 Закона с обязанностями соблюдать конфиденциальность и обеспечивать безопасность.</w:t>
      </w:r>
    </w:p>
    <w:p>
      <w:r>
        <w:t xml:space="preserve">8. Доступ работников — в объёме должностных обязанностей; перечень допущенных лиц утверждается отдельным актом.</w:t>
      </w:r>
    </w:p>
    <w:p/>
    <w:p>
      <w:r>
        <w:t xml:space="preserve">III. Обработка в информационных системах</w:t>
      </w:r>
    </w:p>
    <w:p>
      <w:r>
        <w:t xml:space="preserve">9. [Если ведётся:] доступ предоставляется по индивидуальным идентификаторам, обеспечиваются идентификация и аутентификация, разграничение прав, регистрация действий и иные меры по статье 19 Закона, постановлению Правительства Российской Федерации от 01.11.2012 № 1119 и приказу ФСТЭК России от 18.02.2013 № 21 исходя из уровня защищённости.</w:t>
      </w:r>
    </w:p>
    <w:p>
      <w:r>
        <w:t xml:space="preserve">10. При выявлении несанкционированного доступа принимаются меры по устранению последствий; при неправомерной передаче данных Роскомнадзор уведомляется в сроки статьи 21 Закона.</w:t>
      </w:r>
    </w:p>
    <w:p/>
    <w:p>
      <w:r>
        <w:t xml:space="preserve">IV. Обработка без использования средств автоматизации</w:t>
      </w:r>
    </w:p>
    <w:p>
      <w:r>
        <w:t xml:space="preserve">11. [Если ведётся:] соблюдаются требования постановления Правительства Российской Федерации от 15.09.2008 № 687: раздельное хранение носителей по целям обработки, определённые места хранения, условия, исключающие несанкционированный доступ.</w:t>
      </w:r>
    </w:p>
    <w:p/>
    <w:p>
      <w:r>
        <w:t xml:space="preserve">V. Сроки хранения, локализация и уничтожение</w:t>
      </w:r>
    </w:p>
    <w:p>
      <w:r>
        <w:t xml:space="preserve">12. Данные хранятся не дольше, чем требуют цели обработки, если срок не установлен законом или договором.</w:t>
      </w:r>
    </w:p>
    <w:p>
      <w:r>
        <w:t xml:space="preserve">13. Базы данных граждан Российской Федерации размещаются на территории Российской Федерации (часть 5 статьи 18 Закона).</w:t>
      </w:r>
    </w:p>
    <w:p>
      <w:r>
        <w:t xml:space="preserve">14. Уничтожение оформляется актом; при автоматизированной обработке дополнительно формируется выгрузка из журнала регистрации событий. Акт и выгрузка хранятся не менее трёх лет (приказ Роскомнадзора от 28.10.2022 № 179).</w:t>
      </w:r>
    </w:p>
    <w:p/>
    <w:p>
      <w:r>
        <w:t xml:space="preserve">VI. Права субъектов и рассмотрение запросов</w:t>
      </w:r>
    </w:p>
    <w:p>
      <w:r>
        <w:t xml:space="preserve">15. Субъект вправе получать сведения об обработке (статья 14 Закона), требовать уточнения, блокирования или уничтожения данных, отзывать согласие.</w:t>
      </w:r>
    </w:p>
    <w:p>
      <w:r>
        <w:t xml:space="preserve">16. Ответ на обращение — в срок не более десяти рабочих дней со дня обращения; срок может быть продлён не более чем на пять рабочих дней с уведомлением субъекта.</w:t>
      </w:r>
    </w:p>
    <w:p/>
    <w:p>
      <w:r>
        <w:t xml:space="preserve">VII. Меры безопасности и ответственность</w:t>
      </w:r>
    </w:p>
    <w:p>
      <w:r>
        <w:t xml:space="preserve">17. Оператор назначает ответственного за организацию обработки, принимает правовые, организационные и технические меры (статья 19 Закона) и осуществляет внутренний контроль.</w:t>
      </w:r>
    </w:p>
    <w:p>
      <w:r>
        <w:t xml:space="preserve">18. Работники, виновные в нарушении требований законодательства и настоящего Положения, несут ответственность в соответствии с законодательством Российской Федерации.</w:t>
      </w:r>
    </w:p>
  </w:body>
</w:document>
</file>