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УТВЕРЖДЕНА</w:t>
      </w:r>
    </w:p>
    <w:p>
      <w:r>
        <w:t xml:space="preserve">приказом [наименование оператора]</w:t>
      </w:r>
    </w:p>
    <w:p>
      <w:r>
        <w:t xml:space="preserve">от «___» _______ 20__ г. № ____</w:t>
      </w:r>
    </w:p>
    <w:p/>
    <w:p>
      <w:r>
        <w:t xml:space="preserve">ИНСТРУКЦИЯ</w:t>
      </w:r>
    </w:p>
    <w:p>
      <w:r>
        <w:t xml:space="preserve">по обработке персональных данных без использования средств автоматизации</w:t>
      </w:r>
    </w:p>
    <w:p>
      <w:r>
        <w:t xml:space="preserve">[наименование оператора, ИНН, ОГРН]</w:t>
      </w:r>
    </w:p>
    <w:p/>
    <w:p>
      <w:r>
        <w:t xml:space="preserve">1. Общие положения</w:t>
      </w:r>
    </w:p>
    <w:p>
      <w:r>
        <w:t xml:space="preserve">1.1. Инструкция устанавливает правила обработки персональных данных на материальных носителях в соответствии с Положением, утверждённым постановлением Правительства Российской Федерации от 15.09.2008 № 687, и Федеральным законом от 27.07.2006 № 152-ФЗ.</w:t>
      </w:r>
    </w:p>
    <w:p>
      <w:r>
        <w:t xml:space="preserve">1.2. Инструкция обязательна для работников, осуществляющих обработку персональных данных на бумажных и иных материальных носителях.</w:t>
      </w:r>
    </w:p>
    <w:p/>
    <w:p>
      <w:r>
        <w:t xml:space="preserve">2. Обособление персональных данных</w:t>
      </w:r>
    </w:p>
    <w:p>
      <w:r>
        <w:t xml:space="preserve">2.1. Персональные данные обособляются от иной информации: фиксируются на отдельных материальных носителях, в специальных разделах или на полях форм (бланков).</w:t>
      </w:r>
    </w:p>
    <w:p>
      <w:r>
        <w:t xml:space="preserve">2.2. Персональные данные, обрабатываемые в разных целях, хранятся раздельно.</w:t>
      </w:r>
    </w:p>
    <w:p/>
    <w:p>
      <w:r>
        <w:t xml:space="preserve">3. Типовые формы документов</w:t>
      </w:r>
    </w:p>
    <w:p>
      <w:r>
        <w:t xml:space="preserve">3.1. Типовая форма, предполагающая сбор персональных данных, содержит (пункт 7 Положения, утверждённого постановлением Правительства Российской Федерации от 15.09.2008 № 687): наименование (фамилию, имя, отчество) и адрес оператора; фамилию, имя, отчество и адрес субъекта; источник получения персональных данных; цели обработки; перечень персональных данных; перечень действий с ними и общее описание используемых способов обработки; срок обработки и порядок отзыва согласия — если типовая форма предполагает получение согласия в письменной форме, в ней предусматривается поле, в котором субъект проставляет отметку о своём согласии.</w:t>
      </w:r>
    </w:p>
    <w:p>
      <w:r>
        <w:t xml:space="preserve">3.2. Типовые формы утверждаются приказом оператора.</w:t>
      </w:r>
    </w:p>
    <w:p/>
    <w:p>
      <w:r>
        <w:t xml:space="preserve">4. Места хранения и доступ</w:t>
      </w:r>
    </w:p>
    <w:p>
      <w:r>
        <w:t xml:space="preserve">4.1. Места хранения материальных носителей: [шкаф, сейф, помещение — указать]. Носители хранятся в условиях, исключающих несанкционированный доступ.</w:t>
      </w:r>
    </w:p>
    <w:p>
      <w:r>
        <w:t xml:space="preserve">4.2. Перечень лиц, допущенных к обработке на материальных носителях, утверждается приказом; доступ предоставляется в объёме должностных обязанностей.</w:t>
      </w:r>
    </w:p>
    <w:p>
      <w:r>
        <w:t xml:space="preserve">4.3. Вынос носителей за пределы помещений допускается [условия или запрет].</w:t>
      </w:r>
    </w:p>
    <w:p/>
    <w:p>
      <w:r>
        <w:t xml:space="preserve">5. Уничтожение и обезличивание</w:t>
      </w:r>
    </w:p>
    <w:p>
      <w:r>
        <w:t xml:space="preserve">5.1. По достижении цели обработки или истечении срока хранения носители уничтожаются способом, исключающим восстановление (шредер, комиссионное уничтожение), либо персональные данные обезличиваются.</w:t>
      </w:r>
    </w:p>
    <w:p>
      <w:r>
        <w:t xml:space="preserve">5.2. Уничтожение оформляется актом.</w:t>
      </w:r>
    </w:p>
    <w:p/>
    <w:p>
      <w:r>
        <w:t xml:space="preserve">6. Ответственность</w:t>
      </w:r>
    </w:p>
    <w:p>
      <w:r>
        <w:t xml:space="preserve">6.1. Работники, нарушившие настоящую Инструкцию, несут ответственность в соответствии с законодательством Российской Федерации.</w:t>
      </w:r>
    </w:p>
    <w:p/>
    <w:p>
      <w:r>
        <w:t xml:space="preserve">С инструкцией ознакомлен(а): _______________ / [ФИО] /   «___» _______ 20__ г.</w:t>
      </w:r>
    </w:p>
  </w:body>
</w:document>
</file>