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УТВЕРЖДЕНА</w:t>
      </w:r>
    </w:p>
    <w:p>
      <w:r>
        <w:t xml:space="preserve">приказом [наименование организации]</w:t>
      </w:r>
    </w:p>
    <w:p>
      <w:r>
        <w:t xml:space="preserve">от «___» __________ 20__ г. № _____</w:t>
      </w:r>
    </w:p>
    <w:p/>
    <w:p>
      <w:r>
        <w:t xml:space="preserve">ИНСТРУКЦИЯ</w:t>
      </w:r>
    </w:p>
    <w:p>
      <w:r>
        <w:t xml:space="preserve">по идентификации и аутентификации пользователей информационной системы персональных данных</w:t>
      </w:r>
    </w:p>
    <w:p/>
    <w:p>
      <w:r>
        <w:t xml:space="preserve">1. Общие положения</w:t>
      </w:r>
    </w:p>
    <w:p>
      <w:r>
        <w:t xml:space="preserve">1.1. Инструкция определяет порядок идентификации и аутентификации пользователей ИСПДн [наименование организации] и обязательна для всех пользователей и администраторов.</w:t>
      </w:r>
    </w:p>
    <w:p>
      <w:r>
        <w:t xml:space="preserve">1.2. Разработана с учётом приказа ФСТЭК России от 18.02.2013 № 21 (группа мер ИАФ).</w:t>
      </w:r>
    </w:p>
    <w:p/>
    <w:p>
      <w:r>
        <w:t xml:space="preserve">2. Правила идентификации и аутентификации</w:t>
      </w:r>
    </w:p>
    <w:p>
      <w:r>
        <w:t xml:space="preserve">2.1. Каждому пользователю присваивается уникальная учётная запись; общие (обезличенные) записи для работы с персональными данными не используются.</w:t>
      </w:r>
    </w:p>
    <w:p>
      <w:r>
        <w:t xml:space="preserve">2.2. Доступ предоставляется после успешной аутентификации. Требования к паролю: длина не менее [N] символов, [состав символов], срок действия [N] дней, смена при компрометации — незамедлительно.</w:t>
      </w:r>
    </w:p>
    <w:p>
      <w:r>
        <w:t xml:space="preserve">2.3. Пользователь не сообщает пароль другим лицам и не хранит его в открытом виде.</w:t>
      </w:r>
    </w:p>
    <w:p>
      <w:r>
        <w:t xml:space="preserve">2.4. При [N] неверных попытках учётная запись блокируется на [срок] и разблокируется [кем и как].</w:t>
      </w:r>
    </w:p>
    <w:p>
      <w:r>
        <w:t xml:space="preserve">2.5. Учётные записи уволенных и переведённых работников блокируются в день прекращения оснований доступа.</w:t>
      </w:r>
    </w:p>
    <w:p/>
    <w:p>
      <w:r>
        <w:t xml:space="preserve">3. Ответственность</w:t>
      </w:r>
    </w:p>
    <w:p>
      <w:r>
        <w:t xml:space="preserve">3.1. За нарушение требований работник несёт ответственность в соответствии с законодательством и локальными актами организации.</w:t>
      </w:r>
    </w:p>
    <w:p/>
    <w:p>
      <w:r>
        <w:t xml:space="preserve">Ответственный за обеспечение безопасности _______________ / _______________ /</w:t>
      </w:r>
    </w:p>
    <w:p>
      <w:r>
        <w:t xml:space="preserve">С инструкцией ознакомлен(а): _____________ / _____________ / «___» ______ 20__ г.</w:t>
      </w:r>
    </w:p>
  </w:body>
</w:document>
</file>